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rFonts w:ascii="Yu Gothic Light" w:hAnsi="Yu Gothic Light"/>
          <w:b/>
          <w:bCs/>
          <w:sz w:val="18"/>
          <w:szCs w:val="18"/>
        </w:rPr>
      </w:pPr>
      <w:r>
        <w:rPr>
          <w:rFonts w:ascii="Yu Gothic Light" w:hAnsi="Yu Gothic Light"/>
          <w:b/>
          <w:bCs/>
          <w:sz w:val="18"/>
          <w:szCs w:val="18"/>
        </w:rPr>
        <w:t>Allegato 2</w:t>
      </w:r>
    </w:p>
    <w:p>
      <w:pPr>
        <w:pStyle w:val="Normal"/>
        <w:jc w:val="center"/>
        <w:rPr>
          <w:rFonts w:cs="Calibri" w:ascii="Trade Gothic LT Std Light" w:hAnsi="Trade Gothic LT Std Light"/>
          <w:b/>
          <w:sz w:val="18"/>
          <w:szCs w:val="18"/>
          <w:u w:val="single"/>
          <w:lang w:eastAsia="en-US"/>
        </w:rPr>
      </w:pPr>
      <w:r>
        <w:rPr>
          <w:rFonts w:cs="Calibri" w:ascii="Trade Gothic LT Std Light" w:hAnsi="Trade Gothic LT Std Light"/>
          <w:b/>
          <w:sz w:val="18"/>
          <w:szCs w:val="18"/>
          <w:u w:val="single"/>
          <w:lang w:eastAsia="en-US"/>
        </w:rPr>
        <w:t>ATTO DI INFORMAZIONE EX ART. 13 DEL REGOLAMENTO UE N. 2016/679</w:t>
      </w:r>
    </w:p>
    <w:p>
      <w:pPr>
        <w:pStyle w:val="Normal"/>
        <w:jc w:val="center"/>
        <w:rPr>
          <w:rFonts w:ascii="Trade Gothic LT Std Light" w:hAnsi="Trade Gothic LT Std Light"/>
          <w:b/>
          <w:sz w:val="18"/>
          <w:szCs w:val="18"/>
        </w:rPr>
      </w:pPr>
      <w:bookmarkStart w:id="0" w:name="_Hlk163747507"/>
      <w:bookmarkStart w:id="1" w:name="_Hlk163747507"/>
      <w:r>
        <w:rPr>
          <w:rFonts w:ascii="Trade Gothic LT Std Light" w:hAnsi="Trade Gothic LT Std Light"/>
          <w:b/>
          <w:sz w:val="18"/>
          <w:szCs w:val="18"/>
        </w:rPr>
      </w:r>
    </w:p>
    <w:p>
      <w:pPr>
        <w:pStyle w:val="NoSpacing"/>
        <w:jc w:val="both"/>
        <w:rPr>
          <w:rFonts w:cs="Calibri" w:ascii="Trade Gothic LT Std Light" w:hAnsi="Trade Gothic LT Std Light"/>
          <w:sz w:val="18"/>
          <w:szCs w:val="18"/>
          <w:lang w:eastAsia="en-US"/>
        </w:rPr>
      </w:pPr>
      <w:r>
        <w:rPr>
          <w:rFonts w:cs="Calibri" w:ascii="Trade Gothic LT Std Light" w:hAnsi="Trade Gothic LT Std Light"/>
          <w:b/>
          <w:sz w:val="18"/>
          <w:szCs w:val="18"/>
          <w:lang w:eastAsia="en-US"/>
        </w:rPr>
        <w:t>COMUNE DI TODI</w:t>
      </w:r>
      <w:r>
        <w:rPr>
          <w:rFonts w:cs="Calibri" w:ascii="Trade Gothic LT Std Light" w:hAnsi="Trade Gothic LT Std Light"/>
          <w:sz w:val="18"/>
          <w:szCs w:val="18"/>
          <w:lang w:eastAsia="en-US"/>
        </w:rPr>
        <w:t xml:space="preserve">, (C. f. e P. IVA: 00316740547) (infra “COMUNE”), in persona del suo legale rappresentante pro tempore, con sede legale in Todi, Piazza del Popolo, 29/30, </w:t>
      </w:r>
      <w:bookmarkEnd w:id="1"/>
      <w:r>
        <w:rPr>
          <w:rFonts w:cs="Calibri" w:ascii="Trade Gothic LT Std Light" w:hAnsi="Trade Gothic LT Std Light"/>
          <w:sz w:val="18"/>
          <w:szCs w:val="18"/>
          <w:lang w:eastAsia="en-US"/>
        </w:rPr>
        <w:t>in qualità di Titolare del trattamento ex artt. 4 n. 7) e 24 del Regolamento UE n. 2016/679 (GDPR), informa, ai sensi dell’art. 13 del GDPR, che le informazioni meglio descritte al successivo art. 1 saranno trattate per l’esecuzione della finalità di cui all’art. 2.</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b/>
          <w:sz w:val="18"/>
          <w:szCs w:val="18"/>
          <w:lang w:eastAsia="en-US"/>
        </w:rPr>
      </w:pPr>
      <w:r>
        <w:rPr>
          <w:rFonts w:cs="Calibri" w:ascii="Trade Gothic LT Std Light" w:hAnsi="Trade Gothic LT Std Light"/>
          <w:b/>
          <w:sz w:val="18"/>
          <w:szCs w:val="18"/>
          <w:lang w:eastAsia="en-US"/>
        </w:rPr>
        <w:t>1. Categorie dei dati oggetto di trattamento.</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b/>
          <w:sz w:val="18"/>
          <w:szCs w:val="18"/>
          <w:lang w:eastAsia="en-US"/>
        </w:rPr>
        <w:t>1.1.</w:t>
      </w:r>
      <w:r>
        <w:rPr>
          <w:rFonts w:cs="Calibri" w:ascii="Trade Gothic LT Std Light" w:hAnsi="Trade Gothic LT Std Light"/>
          <w:sz w:val="18"/>
          <w:szCs w:val="18"/>
          <w:lang w:eastAsia="en-US"/>
        </w:rPr>
        <w:t xml:space="preserve"> COMUNE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avviso/bando/concorso o similare promosso da COMUNE, ivi inclusi gli eventuali lavoratori/rappresentanti/procuratori: (i) dati personali ex art. 4 n. 1) del GDPR cd. identificativi (es. nome; cognome; codice fiscale; luogo/data di nascita; indirizzo di residenza/domicilio/dimora) (infra “dati personali”); (ii) dati non personali ex art. 3 n. 1) del Regolamento UE n. 1807/2018 (es. denominazione sociale; sede legale/secondaria; partita iva) (infra “dati non personali”); (iii) 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 giudiziari”).  </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t xml:space="preserve">D’ora in avanti, i dati personali, i dati non personali e i dati personali cd. giudiziari sono definiti, in via congiunta (e per semplicità), soltanto come “informazioni”. </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b/>
          <w:sz w:val="18"/>
          <w:szCs w:val="18"/>
          <w:lang w:eastAsia="en-US"/>
        </w:rPr>
      </w:pPr>
      <w:r>
        <w:rPr>
          <w:rFonts w:cs="Calibri" w:ascii="Trade Gothic LT Std Light" w:hAnsi="Trade Gothic LT Std Light"/>
          <w:b/>
          <w:sz w:val="18"/>
          <w:szCs w:val="18"/>
          <w:lang w:eastAsia="en-US"/>
        </w:rPr>
        <w:t>2. Finalità del trattamento e relativa base giuridica.</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b/>
          <w:sz w:val="18"/>
          <w:szCs w:val="18"/>
          <w:lang w:eastAsia="en-US"/>
        </w:rPr>
        <w:t>2.1.</w:t>
      </w:r>
      <w:r>
        <w:rPr>
          <w:rFonts w:cs="Calibri" w:ascii="Trade Gothic LT Std Light" w:hAnsi="Trade Gothic LT Std Light"/>
          <w:sz w:val="18"/>
          <w:szCs w:val="18"/>
          <w:lang w:eastAsia="en-US"/>
        </w:rPr>
        <w:t xml:space="preserve"> Le informazioni sono trattate, da parte di COMUNE, per l’esecuzione della seguente finalità di trattamento: </w:t>
      </w:r>
    </w:p>
    <w:p>
      <w:pPr>
        <w:pStyle w:val="ListParagraph"/>
        <w:numPr>
          <w:ilvl w:val="0"/>
          <w:numId w:val="1"/>
        </w:numPr>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t xml:space="preserve">Selezione, valutazione, positiva ovvero negativa, di un candidato (persona fisica/giuridica) ad un avviso/bando/concorso o similare promosso e pubblicato da COMUNE, ed esecuzione dei conseguenti adempimenti fiscali/amministrativi/normativi, connessi all’aggiudicazione e/o esclusione di un candidato. </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t>In ossequio all’art. 13 paragrafo 2) lettera e) del GDPR, COMUNE precisa che l’eventuale mancata comunicazione delle informazioni, anche richieste in un secondo momento da COMUNE, può determinare l’impossibilità, in capo a quest’ultima, di eseguire, in modo compiuto e corretto, la finalità di trattamento di cui all’art. 2.1. lettera a).</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t xml:space="preserve">A tal riguardo, COMUNE precisa che la base giuridica per la finalità di trattamento di cui all’art. 2.1. lettera a) si rinviene nelle seguenti disposizioni normative: art. 6 paragrafo 1) lettere b) c) e) del GDPR, per i dati personali; art. 10 del GDPR, DPR n. 313/2002 e art. 2 comma 2) lettere a), c), h) e i) del novellato D.lgs. n. 196/2003 (Codice Privacy), per gli eventuali dati personali cd. giudiziari. </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b/>
          <w:sz w:val="18"/>
          <w:szCs w:val="18"/>
          <w:lang w:eastAsia="en-US"/>
        </w:rPr>
      </w:pPr>
      <w:r>
        <w:rPr>
          <w:rFonts w:cs="Calibri" w:ascii="Trade Gothic LT Std Light" w:hAnsi="Trade Gothic LT Std Light"/>
          <w:b/>
          <w:sz w:val="18"/>
          <w:szCs w:val="18"/>
          <w:lang w:eastAsia="en-US"/>
        </w:rPr>
        <w:t xml:space="preserve">3. Periodo di conservazione. </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b/>
          <w:sz w:val="18"/>
          <w:szCs w:val="18"/>
          <w:lang w:eastAsia="en-US"/>
        </w:rPr>
        <w:t>3.1.</w:t>
      </w:r>
      <w:r>
        <w:rPr>
          <w:rFonts w:cs="Calibri" w:ascii="Trade Gothic LT Std Light" w:hAnsi="Trade Gothic LT Std Light"/>
          <w:sz w:val="18"/>
          <w:szCs w:val="18"/>
          <w:lang w:eastAsia="en-US"/>
        </w:rPr>
        <w:t xml:space="preserve"> In ossequio all’art. 13 paragrafo 2) lettera a) del GDPR, COMUNE comunica il seguente periodo/criterio temporale di conservazione, al termine del quale le informazioni saranno eventualmente soggette a cancellazione, distruzione ovvero anonimizzazione: (i) per l’esecuzione della finalità di trattamento di cui all’art. 2.1. lettera a): in via generale, permanente/illimitato, nel rispetto del Piano di Conservazione dei Comuni. </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b/>
          <w:sz w:val="18"/>
          <w:szCs w:val="18"/>
          <w:lang w:eastAsia="en-US"/>
        </w:rPr>
      </w:pPr>
      <w:r>
        <w:rPr>
          <w:rFonts w:cs="Calibri" w:ascii="Trade Gothic LT Std Light" w:hAnsi="Trade Gothic LT Std Light"/>
          <w:b/>
          <w:sz w:val="18"/>
          <w:szCs w:val="18"/>
          <w:lang w:eastAsia="en-US"/>
        </w:rPr>
        <w:t>4. Destinatari.</w:t>
      </w:r>
    </w:p>
    <w:p>
      <w:pPr>
        <w:pStyle w:val="NoSpacing"/>
        <w:jc w:val="both"/>
        <w:rPr>
          <w:rFonts w:cs="Calibri" w:ascii="Trade Gothic LT Std Light" w:hAnsi="Trade Gothic LT Std Light"/>
          <w:sz w:val="18"/>
          <w:szCs w:val="18"/>
        </w:rPr>
      </w:pPr>
      <w:r>
        <w:rPr>
          <w:rFonts w:cs="Calibri" w:ascii="Trade Gothic LT Std Light" w:hAnsi="Trade Gothic LT Std Light"/>
          <w:b/>
          <w:sz w:val="18"/>
          <w:szCs w:val="18"/>
        </w:rPr>
        <w:t>4.1.</w:t>
      </w:r>
      <w:r>
        <w:rPr>
          <w:rFonts w:cs="Calibri" w:ascii="Trade Gothic LT Std Light" w:hAnsi="Trade Gothic LT Std Light"/>
          <w:sz w:val="18"/>
          <w:szCs w:val="18"/>
        </w:rPr>
        <w:t xml:space="preserve"> Nel rispetto dell’art. 13 paragrafo 1) lettera e) del GDPR, COMUNE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COMUNE; società IT; consulenti/imprese di varia natura che erogano servizi connessi, anche in via indiretta, alla finalità di trattamento in questione; enti/organi pubblici (o a controllo pubblico) di varia natura, anche eventualmente connessi all’avviso/bando o similare di specie. COMUNE precisa, infine, che solo i dati personali e/o i dati non personali potranno essere oggetto di diffusione, soltanto ove ciò sia strettamente necessario per rispettare/ottemperare a una specifica disposizione normativa, nel rispetto, sempre, dei principi cardine ex art. 5 del GDPR. </w:t>
      </w:r>
    </w:p>
    <w:p>
      <w:pPr>
        <w:pStyle w:val="Normal"/>
        <w:jc w:val="both"/>
        <w:rPr>
          <w:rFonts w:cs="Calibri" w:ascii="Trade Gothic LT Std Light" w:hAnsi="Trade Gothic LT Std Light"/>
          <w:b/>
          <w:sz w:val="18"/>
          <w:szCs w:val="18"/>
          <w:lang w:eastAsia="en-US"/>
        </w:rPr>
      </w:pPr>
      <w:r>
        <w:rPr>
          <w:rFonts w:cs="Calibri" w:ascii="Trade Gothic LT Std Light" w:hAnsi="Trade Gothic LT Std Light"/>
          <w:b/>
          <w:sz w:val="18"/>
          <w:szCs w:val="18"/>
          <w:lang w:eastAsia="en-US"/>
        </w:rPr>
      </w:r>
    </w:p>
    <w:p>
      <w:pPr>
        <w:pStyle w:val="Normal"/>
        <w:jc w:val="both"/>
        <w:rPr>
          <w:rFonts w:cs="Calibri" w:ascii="Trade Gothic LT Std Light" w:hAnsi="Trade Gothic LT Std Light"/>
          <w:b/>
          <w:sz w:val="18"/>
          <w:szCs w:val="18"/>
          <w:lang w:eastAsia="en-US"/>
        </w:rPr>
      </w:pPr>
      <w:r>
        <w:rPr>
          <w:rFonts w:cs="Calibri" w:ascii="Trade Gothic LT Std Light" w:hAnsi="Trade Gothic LT Std Light"/>
          <w:b/>
          <w:sz w:val="18"/>
          <w:szCs w:val="18"/>
          <w:lang w:eastAsia="en-US"/>
        </w:rPr>
        <w:t>5. Trasferimento.</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b/>
          <w:sz w:val="18"/>
          <w:szCs w:val="18"/>
          <w:lang w:eastAsia="en-US"/>
        </w:rPr>
        <w:t>5.1.</w:t>
      </w:r>
      <w:r>
        <w:rPr>
          <w:rFonts w:cs="Calibri" w:ascii="Trade Gothic LT Std Light" w:hAnsi="Trade Gothic LT Std Light"/>
          <w:sz w:val="18"/>
          <w:szCs w:val="18"/>
          <w:lang w:eastAsia="en-US"/>
        </w:rPr>
        <w:t xml:space="preserve"> Le informazioni sono/possono essere conservate all’interno anche di archivi interamente o parzialmente automatizzati ovvero non automatizzati, appartenenti o comunque riconducibili, anche in via indiretta, a COMUNE, e ubicati all’interno dello Spazio Economico Europeo (SEE).</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b/>
          <w:sz w:val="18"/>
          <w:szCs w:val="18"/>
          <w:lang w:eastAsia="en-US"/>
        </w:rPr>
      </w:pPr>
      <w:r>
        <w:rPr>
          <w:rFonts w:cs="Calibri" w:ascii="Trade Gothic LT Std Light" w:hAnsi="Trade Gothic LT Std Light"/>
          <w:b/>
          <w:sz w:val="18"/>
          <w:szCs w:val="18"/>
          <w:lang w:eastAsia="en-US"/>
        </w:rPr>
        <w:t xml:space="preserve">6. Diritti del soggetto interessato. </w:t>
      </w:r>
    </w:p>
    <w:p>
      <w:pPr>
        <w:pStyle w:val="Normal"/>
        <w:jc w:val="both"/>
        <w:rPr>
          <w:rFonts w:cs="" w:ascii="Trade Gothic LT Std Light" w:hAnsi="Trade Gothic LT Std Light"/>
          <w:sz w:val="18"/>
          <w:szCs w:val="18"/>
          <w:lang w:eastAsia="zh-TW"/>
        </w:rPr>
      </w:pPr>
      <w:r>
        <w:rPr>
          <w:rFonts w:cs="Calibri" w:ascii="Trade Gothic LT Std Light" w:hAnsi="Trade Gothic LT Std Light"/>
          <w:b/>
          <w:sz w:val="18"/>
          <w:szCs w:val="18"/>
          <w:lang w:eastAsia="en-US"/>
        </w:rPr>
        <w:t>6.1.</w:t>
      </w:r>
      <w:r>
        <w:rPr>
          <w:rFonts w:cs="Calibri" w:ascii="Trade Gothic LT Std Light" w:hAnsi="Trade Gothic LT Std Light"/>
          <w:sz w:val="18"/>
          <w:szCs w:val="18"/>
          <w:lang w:eastAsia="en-US"/>
        </w:rPr>
        <w:t xml:space="preserve"> </w:t>
      </w:r>
      <w:r>
        <w:rPr>
          <w:rFonts w:cs="" w:ascii="Trade Gothic LT Std Light" w:hAnsi="Trade Gothic LT Std Light"/>
          <w:sz w:val="18"/>
          <w:szCs w:val="18"/>
          <w:lang w:eastAsia="zh-TW"/>
        </w:rPr>
        <w:t>In relazione ai dati personali e/o ai dati personali cd. giudiziari, COMUNE informa della facoltà di esercitare i seguenti diritti</w:t>
      </w:r>
      <w:r>
        <w:rPr>
          <w:rFonts w:eastAsia="PMingLiU" w:ascii="Trade Gothic LT Std Light" w:hAnsi="Trade Gothic LT Std Light"/>
          <w:sz w:val="18"/>
          <w:szCs w:val="18"/>
          <w:lang w:eastAsia="zh-TW"/>
        </w:rPr>
        <w:t xml:space="preserve"> eventualmente soggetti alle limitazioni previste dagli artt. 2 undecies e 2 duodecies del Codice Privacy</w:t>
      </w:r>
      <w:r>
        <w:rPr>
          <w:rFonts w:cs="" w:ascii="Trade Gothic LT Std Light" w:hAnsi="Trade Gothic LT Std Light"/>
          <w:sz w:val="18"/>
          <w:szCs w:val="18"/>
          <w:lang w:eastAsia="zh-TW"/>
        </w:rPr>
        <w:t xml:space="preserve">: </w:t>
      </w:r>
      <w:r>
        <w:rPr>
          <w:rFonts w:cs="" w:ascii="Trade Gothic LT Std Light" w:hAnsi="Trade Gothic LT Std Light"/>
          <w:sz w:val="18"/>
          <w:szCs w:val="18"/>
          <w:u w:val="single"/>
          <w:lang w:eastAsia="zh-TW"/>
        </w:rPr>
        <w:t>diritto di accesso</w:t>
      </w:r>
      <w:r>
        <w:rPr>
          <w:rFonts w:cs="" w:ascii="Trade Gothic LT Std Light" w:hAnsi="Trade Gothic LT Std Light"/>
          <w:sz w:val="18"/>
          <w:szCs w:val="18"/>
          <w:lang w:eastAsia="zh-TW"/>
        </w:rPr>
        <w:t xml:space="preserve"> ex art. 15 del GDPR: diritto di ottenere la conferma che sia o meno in corso un trattamento di dati personali che riguardano il soggetto interessato, oltre che le informazioni di cui all’art. 15 del GDPR (es. finalità di trattamento, periodo di conservazione); </w:t>
      </w:r>
      <w:r>
        <w:rPr>
          <w:rFonts w:cs="" w:ascii="Trade Gothic LT Std Light" w:hAnsi="Trade Gothic LT Std Light"/>
          <w:sz w:val="18"/>
          <w:szCs w:val="18"/>
          <w:u w:val="single"/>
          <w:lang w:eastAsia="zh-TW"/>
        </w:rPr>
        <w:t>diritto di rettifica</w:t>
      </w:r>
      <w:r>
        <w:rPr>
          <w:rFonts w:cs="" w:ascii="Trade Gothic LT Std Light" w:hAnsi="Trade Gothic LT Std Light"/>
          <w:sz w:val="18"/>
          <w:szCs w:val="18"/>
          <w:lang w:eastAsia="zh-TW"/>
        </w:rPr>
        <w:t xml:space="preserve"> ex art. 16 del GDPR: diritto di correggere, aggiornare o integrare i dati personali; </w:t>
      </w:r>
      <w:r>
        <w:rPr>
          <w:rFonts w:cs="" w:ascii="Trade Gothic LT Std Light" w:hAnsi="Trade Gothic LT Std Light"/>
          <w:sz w:val="18"/>
          <w:szCs w:val="18"/>
          <w:u w:val="single"/>
          <w:lang w:eastAsia="zh-TW"/>
        </w:rPr>
        <w:t>diritto alla cancellazione</w:t>
      </w:r>
      <w:r>
        <w:rPr>
          <w:rFonts w:cs="" w:ascii="Trade Gothic LT Std Light"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cs="" w:ascii="Trade Gothic LT Std Light" w:hAnsi="Trade Gothic LT Std Light"/>
          <w:sz w:val="18"/>
          <w:szCs w:val="18"/>
          <w:u w:val="single"/>
          <w:lang w:eastAsia="zh-TW"/>
        </w:rPr>
        <w:t>diritto di limitazione del trattamento</w:t>
      </w:r>
      <w:r>
        <w:rPr>
          <w:rFonts w:cs="" w:ascii="Trade Gothic LT Std Light"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cs="" w:ascii="Trade Gothic LT Std Light" w:hAnsi="Trade Gothic LT Std Light"/>
          <w:sz w:val="18"/>
          <w:szCs w:val="18"/>
          <w:u w:val="single"/>
          <w:lang w:eastAsia="zh-TW"/>
        </w:rPr>
        <w:t>diritto alla portabilità</w:t>
      </w:r>
      <w:r>
        <w:rPr>
          <w:rFonts w:cs="" w:ascii="Trade Gothic LT Std Light" w:hAnsi="Trade Gothic LT Std Light"/>
          <w:sz w:val="18"/>
          <w:szCs w:val="18"/>
          <w:lang w:eastAsia="zh-TW"/>
        </w:rPr>
        <w:t xml:space="preserve"> dei dati ex art. 20 del GDPR: diritto di ottenere i dati personali, forniti a COMUNE,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cs="" w:ascii="Trade Gothic LT Std Light" w:hAnsi="Trade Gothic LT Std Light"/>
          <w:sz w:val="18"/>
          <w:szCs w:val="18"/>
          <w:u w:val="single"/>
          <w:lang w:eastAsia="zh-TW"/>
        </w:rPr>
        <w:t>diritto di opposizione</w:t>
      </w:r>
      <w:r>
        <w:rPr>
          <w:rFonts w:cs="" w:ascii="Trade Gothic LT Std Light" w:hAnsi="Trade Gothic LT Std Light"/>
          <w:sz w:val="18"/>
          <w:szCs w:val="18"/>
          <w:lang w:eastAsia="zh-TW"/>
        </w:rPr>
        <w:t xml:space="preserve"> ex art. 21 del GDPR: diritto di ottenere la cessazione, in via permanente, di un determinato trattamento di dati personali; </w:t>
      </w:r>
      <w:r>
        <w:rPr>
          <w:rFonts w:cs="" w:ascii="Trade Gothic LT Std Light" w:hAnsi="Trade Gothic LT Std Light"/>
          <w:sz w:val="18"/>
          <w:szCs w:val="18"/>
          <w:u w:val="single"/>
          <w:lang w:eastAsia="zh-TW"/>
        </w:rPr>
        <w:t>diritto di proporre reclamo</w:t>
      </w:r>
      <w:r>
        <w:rPr>
          <w:rFonts w:cs="" w:ascii="Trade Gothic LT Std Light"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pPr>
        <w:pStyle w:val="Normal"/>
        <w:jc w:val="both"/>
        <w:rPr>
          <w:rFonts w:cs="" w:ascii="Trade Gothic LT Std Light" w:hAnsi="Trade Gothic LT Std Light"/>
          <w:sz w:val="18"/>
          <w:szCs w:val="18"/>
          <w:lang w:eastAsia="zh-TW"/>
        </w:rPr>
      </w:pPr>
      <w:r>
        <w:rPr>
          <w:rFonts w:cs="" w:ascii="Trade Gothic LT Std Light" w:hAnsi="Trade Gothic LT Std Light"/>
          <w:b/>
          <w:sz w:val="18"/>
          <w:szCs w:val="18"/>
          <w:lang w:eastAsia="zh-TW"/>
        </w:rPr>
        <w:t>6.2.</w:t>
      </w:r>
      <w:r>
        <w:rPr>
          <w:rFonts w:cs="" w:ascii="Trade Gothic LT Std Light" w:hAnsi="Trade Gothic LT Std Light"/>
          <w:sz w:val="18"/>
          <w:szCs w:val="18"/>
          <w:lang w:eastAsia="zh-TW"/>
        </w:rPr>
        <w:t xml:space="preserve"> In aggiunta ai diritti descritti al precedente art. 6.1., COMUNE precisa che, in relazione ai dati personali e/o ai dati personali cd. giudiziari,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COMUNE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pPr>
        <w:pStyle w:val="Normal"/>
        <w:jc w:val="both"/>
        <w:rPr>
          <w:rFonts w:cs="" w:ascii="Trade Gothic LT Std Light" w:hAnsi="Trade Gothic LT Std Light"/>
          <w:sz w:val="18"/>
          <w:szCs w:val="18"/>
          <w:lang w:eastAsia="zh-TW"/>
        </w:rPr>
      </w:pPr>
      <w:r>
        <w:rPr>
          <w:rFonts w:cs="" w:ascii="Trade Gothic LT Std Light" w:hAnsi="Trade Gothic LT Std Light"/>
          <w:b/>
          <w:sz w:val="18"/>
          <w:szCs w:val="18"/>
          <w:lang w:eastAsia="zh-TW"/>
        </w:rPr>
        <w:t>6.3.</w:t>
      </w:r>
      <w:r>
        <w:rPr>
          <w:rFonts w:cs="" w:ascii="Trade Gothic LT Std Light" w:hAnsi="Trade Gothic LT Std Light"/>
          <w:sz w:val="18"/>
          <w:szCs w:val="18"/>
          <w:lang w:eastAsia="zh-TW"/>
        </w:rPr>
        <w:t xml:space="preserve"> In ossequio all’art. 12 paragrafo 1) del GDPR, COMUNE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pPr>
        <w:pStyle w:val="Normal"/>
        <w:jc w:val="both"/>
        <w:rPr>
          <w:rFonts w:cs="" w:ascii="Trade Gothic LT Std Light" w:hAnsi="Trade Gothic LT Std Light"/>
          <w:sz w:val="18"/>
          <w:szCs w:val="18"/>
          <w:lang w:eastAsia="zh-TW"/>
        </w:rPr>
      </w:pPr>
      <w:r>
        <w:rPr>
          <w:rFonts w:cs="" w:ascii="Trade Gothic LT Std Light" w:hAnsi="Trade Gothic LT Std Light"/>
          <w:b/>
          <w:sz w:val="18"/>
          <w:szCs w:val="18"/>
          <w:lang w:eastAsia="zh-TW"/>
        </w:rPr>
        <w:t>6.4.</w:t>
      </w:r>
      <w:r>
        <w:rPr>
          <w:rFonts w:cs="" w:ascii="Trade Gothic LT Std Light" w:hAnsi="Trade Gothic LT Std Light"/>
          <w:sz w:val="18"/>
          <w:szCs w:val="18"/>
          <w:lang w:eastAsia="zh-TW"/>
        </w:rPr>
        <w:t xml:space="preserve"> In ossequio all’art. 12 paragrafo 3) del GDPR, COMUNE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COMUNE si impegna ad informare di tale proroga e dei motivi del ritardo, entro un mese dal ricevimento della richiesta).</w:t>
      </w:r>
    </w:p>
    <w:p>
      <w:pPr>
        <w:pStyle w:val="Normal"/>
        <w:jc w:val="both"/>
        <w:rPr>
          <w:rFonts w:cs="" w:ascii="Trade Gothic LT Std Light" w:hAnsi="Trade Gothic LT Std Light"/>
          <w:sz w:val="18"/>
          <w:szCs w:val="18"/>
          <w:lang w:eastAsia="zh-TW"/>
        </w:rPr>
      </w:pPr>
      <w:r>
        <w:rPr>
          <w:rFonts w:cs="" w:ascii="Trade Gothic LT Std Light" w:hAnsi="Trade Gothic LT Std Light"/>
          <w:b/>
          <w:sz w:val="18"/>
          <w:szCs w:val="18"/>
          <w:lang w:eastAsia="zh-TW"/>
        </w:rPr>
        <w:t xml:space="preserve">6.5. </w:t>
      </w:r>
      <w:r>
        <w:rPr>
          <w:rFonts w:cs="" w:ascii="Trade Gothic LT Std Light" w:hAnsi="Trade Gothic LT Std Light"/>
          <w:sz w:val="18"/>
          <w:szCs w:val="18"/>
          <w:lang w:eastAsia="zh-TW"/>
        </w:rPr>
        <w:t xml:space="preserve">I diritti descritti ai precedenti artt. 6.1. e 6.2. (fatta eccezione per il diritto ex art. 77 del GDPR) possono essere esercitati mediante i dati di contatto illustrati al successivo art. 7.  </w:t>
      </w:r>
    </w:p>
    <w:p>
      <w:pPr>
        <w:pStyle w:val="Normal"/>
        <w:jc w:val="both"/>
        <w:rPr>
          <w:rFonts w:cs="" w:ascii="Trade Gothic LT Std Light" w:hAnsi="Trade Gothic LT Std Light"/>
          <w:b/>
          <w:sz w:val="18"/>
          <w:szCs w:val="18"/>
          <w:lang w:eastAsia="zh-TW"/>
        </w:rPr>
      </w:pPr>
      <w:r>
        <w:rPr>
          <w:rFonts w:cs="" w:ascii="Trade Gothic LT Std Light" w:hAnsi="Trade Gothic LT Std Light"/>
          <w:b/>
          <w:sz w:val="18"/>
          <w:szCs w:val="18"/>
          <w:lang w:eastAsia="zh-TW"/>
        </w:rPr>
      </w:r>
    </w:p>
    <w:p>
      <w:pPr>
        <w:pStyle w:val="Normal"/>
        <w:jc w:val="both"/>
        <w:rPr>
          <w:rFonts w:cs="" w:ascii="Trade Gothic LT Std Light" w:hAnsi="Trade Gothic LT Std Light"/>
          <w:b/>
          <w:sz w:val="18"/>
          <w:szCs w:val="18"/>
          <w:lang w:eastAsia="zh-TW"/>
        </w:rPr>
      </w:pPr>
      <w:r>
        <w:rPr>
          <w:rFonts w:cs="" w:ascii="Trade Gothic LT Std Light" w:hAnsi="Trade Gothic LT Std Light"/>
          <w:b/>
          <w:sz w:val="18"/>
          <w:szCs w:val="18"/>
          <w:lang w:eastAsia="zh-TW"/>
        </w:rPr>
        <w:t>7. Dati di contatto.</w:t>
      </w:r>
    </w:p>
    <w:p>
      <w:pPr>
        <w:pStyle w:val="Normal"/>
        <w:jc w:val="both"/>
        <w:rPr>
          <w:rFonts w:cs="" w:ascii="Trade Gothic LT Std Light" w:hAnsi="Trade Gothic LT Std Light"/>
          <w:sz w:val="18"/>
          <w:szCs w:val="18"/>
          <w:lang w:eastAsia="zh-TW"/>
        </w:rPr>
      </w:pPr>
      <w:r>
        <w:rPr>
          <w:rFonts w:cs="" w:ascii="Trade Gothic LT Std Light" w:hAnsi="Trade Gothic LT Std Light"/>
          <w:b/>
          <w:sz w:val="18"/>
          <w:szCs w:val="18"/>
          <w:lang w:eastAsia="zh-TW"/>
        </w:rPr>
        <w:t>7.1.</w:t>
      </w:r>
      <w:r>
        <w:rPr>
          <w:rFonts w:cs="" w:ascii="Trade Gothic LT Std Light" w:hAnsi="Trade Gothic LT Std Light"/>
          <w:sz w:val="18"/>
          <w:szCs w:val="18"/>
          <w:lang w:eastAsia="zh-TW"/>
        </w:rPr>
        <w:t xml:space="preserve"> COMUNE può essere contattato al seguente recapito: </w:t>
      </w:r>
      <w:hyperlink r:id="rId2">
        <w:r>
          <w:rPr>
            <w:rStyle w:val="CollegamentoInternet"/>
            <w:rFonts w:cs="" w:ascii="Trade Gothic LT Std Light" w:hAnsi="Trade Gothic LT Std Light"/>
            <w:sz w:val="18"/>
            <w:szCs w:val="18"/>
            <w:lang w:eastAsia="zh-TW"/>
          </w:rPr>
          <w:t>comune.todi@postacert.umbria.it</w:t>
        </w:r>
      </w:hyperlink>
      <w:r>
        <w:rPr>
          <w:rFonts w:cs="" w:ascii="Trade Gothic LT Std Light" w:hAnsi="Trade Gothic LT Std Light"/>
          <w:sz w:val="18"/>
          <w:szCs w:val="18"/>
          <w:lang w:eastAsia="zh-TW"/>
        </w:rPr>
        <w:t xml:space="preserve"> </w:t>
      </w:r>
    </w:p>
    <w:p>
      <w:pPr>
        <w:pStyle w:val="Normal"/>
        <w:jc w:val="both"/>
        <w:rPr>
          <w:rFonts w:cs="" w:ascii="Trade Gothic LT Std Light" w:hAnsi="Trade Gothic LT Std Light"/>
          <w:sz w:val="18"/>
          <w:szCs w:val="18"/>
          <w:lang w:eastAsia="zh-TW"/>
        </w:rPr>
      </w:pPr>
      <w:r>
        <w:rPr>
          <w:rFonts w:cs="" w:ascii="Trade Gothic LT Std Light" w:hAnsi="Trade Gothic LT Std Light"/>
          <w:b/>
          <w:sz w:val="18"/>
          <w:szCs w:val="18"/>
          <w:lang w:eastAsia="zh-TW"/>
        </w:rPr>
        <w:t>7.2.</w:t>
      </w:r>
      <w:r>
        <w:rPr>
          <w:rFonts w:cs="" w:ascii="Trade Gothic LT Std Light" w:hAnsi="Trade Gothic LT Std Light"/>
          <w:sz w:val="18"/>
          <w:szCs w:val="18"/>
          <w:lang w:eastAsia="zh-TW"/>
        </w:rPr>
        <w:t xml:space="preserve"> Il Responsabile della protezione dei dati (RPD/DPO) ex art. 37 del GDPR, nominato da COMUNE, può essere contattato al seguente recapito: </w:t>
      </w:r>
      <w:hyperlink r:id="rId3">
        <w:r>
          <w:rPr>
            <w:rStyle w:val="CollegamentoInternet"/>
            <w:rFonts w:cs="" w:ascii="Trade Gothic LT Std Light" w:hAnsi="Trade Gothic LT Std Light"/>
            <w:sz w:val="18"/>
            <w:szCs w:val="18"/>
            <w:lang w:eastAsia="zh-TW"/>
          </w:rPr>
          <w:t>dpo.todi@comune.todi.pg.it</w:t>
        </w:r>
      </w:hyperlink>
      <w:r>
        <w:rPr>
          <w:rFonts w:cs="" w:ascii="Trade Gothic LT Std Light" w:hAnsi="Trade Gothic LT Std Light"/>
          <w:sz w:val="18"/>
          <w:szCs w:val="18"/>
          <w:lang w:eastAsia="zh-TW"/>
        </w:rPr>
        <w:t xml:space="preserve"> </w:t>
      </w:r>
    </w:p>
    <w:p>
      <w:pPr>
        <w:pStyle w:val="Normal"/>
        <w:jc w:val="both"/>
        <w:rPr>
          <w:rFonts w:cs="" w:ascii="Trade Gothic LT Std Light" w:hAnsi="Trade Gothic LT Std Light"/>
          <w:sz w:val="18"/>
          <w:szCs w:val="18"/>
          <w:lang w:eastAsia="zh-TW"/>
        </w:rPr>
      </w:pPr>
      <w:r>
        <w:rPr>
          <w:rFonts w:cs="" w:ascii="Trade Gothic LT Std Light" w:hAnsi="Trade Gothic LT Std Light"/>
          <w:sz w:val="18"/>
          <w:szCs w:val="18"/>
          <w:lang w:eastAsia="zh-TW"/>
        </w:rPr>
      </w:r>
    </w:p>
    <w:p>
      <w:pPr>
        <w:pStyle w:val="Normal"/>
        <w:jc w:val="both"/>
        <w:rPr>
          <w:rFonts w:cs="" w:ascii="Trade Gothic LT Std Light" w:hAnsi="Trade Gothic LT Std Light"/>
          <w:sz w:val="18"/>
          <w:szCs w:val="18"/>
          <w:lang w:eastAsia="zh-TW"/>
        </w:rPr>
      </w:pPr>
      <w:r>
        <w:rPr>
          <w:rFonts w:cs="" w:ascii="Trade Gothic LT Std Light" w:hAnsi="Trade Gothic LT Std Light"/>
          <w:sz w:val="18"/>
          <w:szCs w:val="18"/>
          <w:lang w:eastAsia="zh-TW"/>
        </w:rPr>
        <w:t>Todi, lì 25.10.2024 (data di ultimo aggiornamento).</w:t>
      </w:r>
    </w:p>
    <w:p>
      <w:pPr>
        <w:pStyle w:val="Normal"/>
        <w:jc w:val="both"/>
        <w:rPr>
          <w:rFonts w:cs="" w:ascii="Trade Gothic LT Std Light" w:hAnsi="Trade Gothic LT Std Light"/>
          <w:sz w:val="18"/>
          <w:szCs w:val="18"/>
          <w:lang w:eastAsia="zh-TW"/>
        </w:rPr>
      </w:pPr>
      <w:r>
        <w:rPr>
          <w:rFonts w:cs="" w:ascii="Trade Gothic LT Std Light" w:hAnsi="Trade Gothic LT Std Light"/>
          <w:sz w:val="18"/>
          <w:szCs w:val="18"/>
          <w:lang w:eastAsia="zh-TW"/>
        </w:rPr>
      </w:r>
    </w:p>
    <w:p>
      <w:pPr>
        <w:pStyle w:val="Normal"/>
        <w:jc w:val="both"/>
        <w:rPr>
          <w:rFonts w:ascii="Trade Gothic LT Std Light" w:hAnsi="Trade Gothic LT Std Light"/>
          <w:b/>
          <w:sz w:val="18"/>
          <w:szCs w:val="18"/>
        </w:rPr>
      </w:pPr>
      <w:r>
        <w:rPr>
          <w:rFonts w:ascii="Trade Gothic LT Std Light" w:hAnsi="Trade Gothic LT Std Light"/>
          <w:b/>
          <w:sz w:val="18"/>
          <w:szCs w:val="18"/>
        </w:rPr>
        <w:t>COMUNE DI TODI</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t>(in persona del suo legale rappresentante pro tempore)</w:t>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 w:ascii="Trade Gothic LT Std Light" w:hAnsi="Trade Gothic LT Std Light"/>
          <w:sz w:val="18"/>
          <w:szCs w:val="18"/>
          <w:lang w:eastAsia="zh-TW"/>
        </w:rPr>
      </w:pPr>
      <w:r>
        <w:rPr>
          <w:rFonts w:cs="" w:ascii="Trade Gothic LT Std Light" w:hAnsi="Trade Gothic LT Std Light"/>
          <w:sz w:val="18"/>
          <w:szCs w:val="18"/>
          <w:lang w:eastAsia="zh-TW"/>
        </w:rPr>
      </w:r>
    </w:p>
    <w:p>
      <w:pPr>
        <w:pStyle w:val="Normal"/>
        <w:jc w:val="both"/>
        <w:rPr>
          <w:rFonts w:cs="" w:ascii="Trade Gothic LT Std Light" w:hAnsi="Trade Gothic LT Std Light"/>
          <w:b/>
          <w:sz w:val="18"/>
          <w:szCs w:val="18"/>
          <w:lang w:eastAsia="zh-TW"/>
        </w:rPr>
      </w:pPr>
      <w:r>
        <w:rPr>
          <w:rFonts w:cs="" w:ascii="Trade Gothic LT Std Light" w:hAnsi="Trade Gothic LT Std Light"/>
          <w:b/>
          <w:sz w:val="18"/>
          <w:szCs w:val="18"/>
          <w:lang w:eastAsia="zh-TW"/>
        </w:rPr>
      </w:r>
    </w:p>
    <w:p>
      <w:pPr>
        <w:pStyle w:val="Normal"/>
        <w:jc w:val="both"/>
        <w:rPr>
          <w:rFonts w:cs="" w:ascii="Trade Gothic LT Std Light" w:hAnsi="Trade Gothic LT Std Light"/>
          <w:b/>
          <w:sz w:val="18"/>
          <w:szCs w:val="18"/>
          <w:lang w:eastAsia="zh-TW"/>
        </w:rPr>
      </w:pPr>
      <w:r>
        <w:rPr>
          <w:rFonts w:cs="" w:ascii="Trade Gothic LT Std Light" w:hAnsi="Trade Gothic LT Std Light"/>
          <w:b/>
          <w:sz w:val="18"/>
          <w:szCs w:val="18"/>
          <w:lang w:eastAsia="zh-TW"/>
        </w:rPr>
      </w:r>
    </w:p>
    <w:p>
      <w:pPr>
        <w:pStyle w:val="Normal"/>
        <w:jc w:val="both"/>
        <w:rPr>
          <w:rFonts w:cs="" w:ascii="Trade Gothic LT Std Light" w:hAnsi="Trade Gothic LT Std Light"/>
          <w:b/>
          <w:sz w:val="18"/>
          <w:szCs w:val="18"/>
          <w:lang w:eastAsia="zh-TW"/>
        </w:rPr>
      </w:pPr>
      <w:r>
        <w:rPr>
          <w:rFonts w:cs="" w:ascii="Trade Gothic LT Std Light" w:hAnsi="Trade Gothic LT Std Light"/>
          <w:b/>
          <w:sz w:val="18"/>
          <w:szCs w:val="18"/>
          <w:lang w:eastAsia="zh-TW"/>
        </w:rPr>
      </w:r>
    </w:p>
    <w:p>
      <w:pPr>
        <w:pStyle w:val="Normal"/>
        <w:jc w:val="both"/>
        <w:rPr>
          <w:rFonts w:cs="" w:ascii="Trade Gothic LT Std Light" w:hAnsi="Trade Gothic LT Std Light"/>
          <w:b/>
          <w:sz w:val="18"/>
          <w:szCs w:val="18"/>
          <w:lang w:eastAsia="zh-TW"/>
        </w:rPr>
      </w:pPr>
      <w:r>
        <w:rPr>
          <w:rFonts w:cs="" w:ascii="Trade Gothic LT Std Light" w:hAnsi="Trade Gothic LT Std Light"/>
          <w:b/>
          <w:sz w:val="18"/>
          <w:szCs w:val="18"/>
          <w:lang w:eastAsia="zh-TW"/>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jc w:val="both"/>
        <w:rPr>
          <w:rFonts w:cs="Calibri" w:ascii="Trade Gothic LT Std Light" w:hAnsi="Trade Gothic LT Std Light"/>
          <w:sz w:val="18"/>
          <w:szCs w:val="18"/>
          <w:lang w:eastAsia="en-US"/>
        </w:rPr>
      </w:pPr>
      <w:r>
        <w:rPr>
          <w:rFonts w:cs="Calibri" w:ascii="Trade Gothic LT Std Light" w:hAnsi="Trade Gothic LT Std Light"/>
          <w:sz w:val="18"/>
          <w:szCs w:val="18"/>
          <w:lang w:eastAsia="en-US"/>
        </w:rPr>
      </w:r>
    </w:p>
    <w:p>
      <w:pPr>
        <w:pStyle w:val="Normal"/>
        <w:rPr/>
      </w:pPr>
      <w:r>
        <w:rPr/>
      </w:r>
    </w:p>
    <w:p>
      <w:pPr>
        <w:pStyle w:val="Normal"/>
        <w:rPr/>
      </w:pPr>
      <w:r>
        <w:rPr/>
      </w:r>
    </w:p>
    <w:p>
      <w:pPr>
        <w:pStyle w:val="Normal"/>
        <w:rPr/>
      </w:pPr>
      <w:r>
        <w:rPr/>
      </w:r>
    </w:p>
    <w:sectPr>
      <w:footerReference w:type="default" r:id="rId4"/>
      <w:type w:val="nextPage"/>
      <w:pgSz w:w="11906" w:h="16838"/>
      <w:pgMar w:left="1134" w:right="1134" w:header="0"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Yu Gothic Light">
    <w:charset w:val="00"/>
    <w:family w:val="roman"/>
    <w:pitch w:val="variable"/>
  </w:font>
  <w:font w:name="Trade Gothic LT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jc w:val="center"/>
      <w:rPr/>
    </w:pPr>
    <w:r>
      <w:rPr/>
      <w:fldChar w:fldCharType="begin"/>
    </w:r>
    <w:r>
      <w:instrText> PAGE </w:instrText>
    </w:r>
    <w:r>
      <w:fldChar w:fldCharType="separate"/>
    </w:r>
    <w:r>
      <w:t>3</w:t>
    </w:r>
    <w: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spacing w:lineRule="auto" w:line="276"/>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72663b"/>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it-IT" w:eastAsia="it-IT" w:bidi="ar-SA"/>
    </w:rPr>
  </w:style>
  <w:style w:type="character" w:styleId="DefaultParagraphFont" w:default="1">
    <w:name w:val="Default Paragraph Font"/>
    <w:uiPriority w:val="1"/>
    <w:semiHidden/>
    <w:unhideWhenUsed/>
    <w:rPr/>
  </w:style>
  <w:style w:type="character" w:styleId="CollegamentoInternet">
    <w:name w:val="Collegamento Internet"/>
    <w:uiPriority w:val="99"/>
    <w:unhideWhenUsed/>
    <w:rsid w:val="0072663b"/>
    <w:basedOn w:val="DefaultParagraphFont"/>
    <w:rPr>
      <w:color w:val="0000FF"/>
      <w:u w:val="single"/>
      <w:lang w:val="zxx" w:eastAsia="zxx" w:bidi="zxx"/>
    </w:rPr>
  </w:style>
  <w:style w:type="character" w:styleId="IntestazioneCarattere" w:customStyle="1">
    <w:name w:val="Intestazione Carattere"/>
    <w:uiPriority w:val="99"/>
    <w:link w:val="Intestazione"/>
    <w:rsid w:val="008c680b"/>
    <w:basedOn w:val="DefaultParagraphFont"/>
    <w:rPr>
      <w:rFonts w:ascii="Times New Roman" w:hAnsi="Times New Roman" w:eastAsia="Times New Roman" w:cs="Times New Roman"/>
      <w:sz w:val="24"/>
      <w:szCs w:val="24"/>
      <w:lang w:eastAsia="it-IT"/>
    </w:rPr>
  </w:style>
  <w:style w:type="character" w:styleId="PidipaginaCarattere" w:customStyle="1">
    <w:name w:val="Piè di pagina Carattere"/>
    <w:uiPriority w:val="99"/>
    <w:link w:val="Pidipagina"/>
    <w:rsid w:val="008c680b"/>
    <w:basedOn w:val="DefaultParagraphFont"/>
    <w:rPr>
      <w:rFonts w:ascii="Times New Roman" w:hAnsi="Times New Roman" w:eastAsia="Times New Roman" w:cs="Times New Roman"/>
      <w:sz w:val="24"/>
      <w:szCs w:val="24"/>
      <w:lang w:eastAsia="it-IT"/>
    </w:rPr>
  </w:style>
  <w:style w:type="character" w:styleId="UnresolvedMention">
    <w:name w:val="Unresolved Mention"/>
    <w:uiPriority w:val="99"/>
    <w:semiHidden/>
    <w:unhideWhenUsed/>
    <w:rsid w:val="00774f60"/>
    <w:basedOn w:val="DefaultParagraphFont"/>
    <w:rPr>
      <w:color w:val="605E5C"/>
      <w:shd w:fill="E1DFDD" w:val="clear"/>
    </w:rPr>
  </w:style>
  <w:style w:type="character" w:styleId="ListLabel1">
    <w:name w:val="ListLabel 1"/>
    <w:rPr>
      <w:b/>
    </w:rPr>
  </w:style>
  <w:style w:type="character" w:styleId="ListLabel2">
    <w:name w:val="ListLabel 2"/>
    <w:rPr>
      <w:b/>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NoSpacing">
    <w:name w:val="No Spacing"/>
    <w:uiPriority w:val="1"/>
    <w:qFormat/>
    <w:rsid w:val="0072663b"/>
    <w:pPr>
      <w:widowControl/>
      <w:suppressAutoHyphens w:val="true"/>
      <w:bidi w:val="0"/>
      <w:spacing w:lineRule="auto" w:line="240" w:before="0" w:after="0"/>
      <w:jc w:val="left"/>
    </w:pPr>
    <w:rPr>
      <w:rFonts w:ascii="Calibri" w:hAnsi="Calibri" w:eastAsia="SimSun" w:cs=""/>
      <w:color w:val="00000A"/>
      <w:sz w:val="22"/>
      <w:szCs w:val="22"/>
      <w:lang w:val="it-IT" w:eastAsia="zh-TW" w:bidi="ar-SA"/>
    </w:rPr>
  </w:style>
  <w:style w:type="paragraph" w:styleId="ListParagraph">
    <w:name w:val="List Paragraph"/>
    <w:uiPriority w:val="34"/>
    <w:qFormat/>
    <w:rsid w:val="00cf0419"/>
    <w:basedOn w:val="Normal"/>
    <w:pPr>
      <w:spacing w:before="0" w:after="0"/>
      <w:ind w:left="720" w:right="0" w:hanging="0"/>
      <w:contextualSpacing/>
    </w:pPr>
    <w:rPr/>
  </w:style>
  <w:style w:type="paragraph" w:styleId="Intestazione">
    <w:name w:val="Intestazione"/>
    <w:uiPriority w:val="99"/>
    <w:unhideWhenUsed/>
    <w:link w:val="IntestazioneCarattere"/>
    <w:rsid w:val="008c680b"/>
    <w:basedOn w:val="Normal"/>
    <w:pPr>
      <w:tabs>
        <w:tab w:val="center" w:pos="4819" w:leader="none"/>
        <w:tab w:val="right" w:pos="9638" w:leader="none"/>
      </w:tabs>
    </w:pPr>
    <w:rPr/>
  </w:style>
  <w:style w:type="paragraph" w:styleId="Pidipagina">
    <w:name w:val="Piè di pagina"/>
    <w:uiPriority w:val="99"/>
    <w:unhideWhenUsed/>
    <w:link w:val="PidipaginaCarattere"/>
    <w:rsid w:val="008c680b"/>
    <w:basedOn w:val="Normal"/>
    <w:pPr>
      <w:tabs>
        <w:tab w:val="center" w:pos="4819" w:leader="none"/>
        <w:tab w:val="right" w:pos="9638" w:leader="none"/>
      </w:tabs>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todi@postacert.umbria.it" TargetMode="External"/><Relationship Id="rId3" Type="http://schemas.openxmlformats.org/officeDocument/2006/relationships/hyperlink" Target="mailto:dpo.todi@comune.todi.pg.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2023-03-29T12:19:00Z</dcterms:created>
  <dc:creator>Gabriele Borghi</dc:creator>
  <dc:language>it-IT</dc:language>
  <cp:lastModifiedBy>Gabriele Borghi</cp:lastModifiedBy>
  <cp:lastPrinted>2025-06-18T14:18:59Z</cp:lastPrinted>
  <dcterms:modified xsi:type="dcterms:W3CDTF">2024-10-25T15:04:00Z</dcterms:modified>
  <cp:revision>11</cp:revision>
</cp:coreProperties>
</file>